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62CE0" w14:textId="2B7F6EDD" w:rsidR="00930D87" w:rsidRPr="00AC50B1" w:rsidRDefault="00930D87" w:rsidP="004B761D">
      <w:pPr>
        <w:pStyle w:val="Title"/>
        <w:jc w:val="both"/>
        <w:rPr>
          <w:rFonts w:ascii="Palatino Linotype" w:hAnsi="Palatino Linotype"/>
        </w:rPr>
      </w:pPr>
      <w:r>
        <w:rPr>
          <w:rFonts w:ascii="Palatino Linotype" w:hAnsi="Palatino Linotype"/>
        </w:rPr>
        <w:t>Gofood.uk Referral Agency Agreement</w:t>
      </w:r>
    </w:p>
    <w:p w14:paraId="129464BF" w14:textId="77777777" w:rsidR="00930D87" w:rsidRPr="00AC50B1" w:rsidRDefault="00930D87" w:rsidP="004B761D">
      <w:pPr>
        <w:jc w:val="both"/>
        <w:rPr>
          <w:rFonts w:ascii="Palatino Linotype" w:hAnsi="Palatino Linotype"/>
        </w:rPr>
      </w:pPr>
    </w:p>
    <w:p w14:paraId="61E99EEB" w14:textId="4F91B566" w:rsidR="00930D87" w:rsidRPr="00AC50B1" w:rsidRDefault="00930D87" w:rsidP="004B761D">
      <w:pPr>
        <w:jc w:val="both"/>
        <w:rPr>
          <w:rFonts w:ascii="Palatino Linotype" w:hAnsi="Palatino Linotype"/>
        </w:rPr>
      </w:pPr>
      <w:r>
        <w:rPr>
          <w:rFonts w:ascii="Palatino Linotype" w:hAnsi="Palatino Linotype"/>
        </w:rPr>
        <w:t xml:space="preserve">This referral agency agreement ("Agreement") is made and entered into on </w:t>
      </w:r>
      <w:r>
        <w:rPr>
          <w:rFonts w:ascii="Palatino Linotype" w:hAnsi="Palatino Linotype"/>
          <w:b/>
          <w:bCs/>
          <w:u w:val="single"/>
        </w:rPr>
        <w:t>[Commence Date]</w:t>
      </w:r>
      <w:r>
        <w:rPr>
          <w:rFonts w:ascii="Palatino Linotype" w:hAnsi="Palatino Linotype"/>
        </w:rPr>
        <w:t xml:space="preserve"> (the “</w:t>
      </w:r>
      <w:r>
        <w:rPr>
          <w:rFonts w:ascii="Palatino Linotype" w:hAnsi="Palatino Linotype"/>
          <w:b/>
          <w:bCs/>
        </w:rPr>
        <w:t xml:space="preserve">Commence Date</w:t>
      </w:r>
      <w:r>
        <w:rPr>
          <w:rFonts w:ascii="Palatino Linotype" w:hAnsi="Palatino Linotype"/>
        </w:rPr>
        <w:t xml:space="preserve">”) by and between </w:t>
      </w:r>
      <w:r>
        <w:rPr>
          <w:rFonts w:ascii="Palatino Linotype" w:hAnsi="Palatino Linotype"/>
          <w:b/>
          <w:bCs/>
        </w:rPr>
        <w:t>Gofood.uk Online Ltd</w:t>
      </w:r>
      <w:r>
        <w:rPr>
          <w:rFonts w:ascii="Palatino Linotype" w:hAnsi="Palatino Linotype"/>
        </w:rPr>
        <w:t xml:space="preserve"> ("Principal"), with its principal place of business at 240 Southwell Road East, Rainworth, Mansfield NG21 0EQ, and _______________________________________("Agent"), with its principal place of business at _________________________________________________________________.</w:t>
      </w:r>
    </w:p>
    <w:p w14:paraId="5A828BAA" w14:textId="03F33901" w:rsidR="00930D87" w:rsidRPr="00AC50B1" w:rsidRDefault="00315782" w:rsidP="004B761D">
      <w:pPr>
        <w:jc w:val="both"/>
        <w:rPr>
          <w:rFonts w:ascii="Palatino Linotype" w:hAnsi="Palatino Linotype"/>
          <w:b/>
          <w:bCs/>
        </w:rPr>
      </w:pPr>
      <w:r>
        <w:rPr>
          <w:rFonts w:ascii="Palatino Linotype" w:hAnsi="Palatino Linotype"/>
          <w:b/>
          <w:bCs/>
        </w:rPr>
        <w:t>RECITALS</w:t>
      </w:r>
    </w:p>
    <w:p w14:paraId="089F0558" w14:textId="2F9C6DA3" w:rsidR="00315782" w:rsidRPr="00AC50B1" w:rsidRDefault="00315782" w:rsidP="004B761D">
      <w:pPr>
        <w:jc w:val="both"/>
        <w:rPr>
          <w:rFonts w:ascii="Palatino Linotype" w:hAnsi="Palatino Linotype"/>
        </w:rPr>
      </w:pPr>
      <w:r>
        <w:rPr>
          <w:rFonts w:ascii="Palatino Linotype" w:hAnsi="Palatino Linotype"/>
          <w:b/>
          <w:bCs/>
        </w:rPr>
        <w:tab/>
        <w:t>WHEREAS,</w:t>
      </w:r>
      <w:r>
        <w:rPr>
          <w:rFonts w:ascii="Palatino Linotype" w:hAnsi="Palatino Linotype"/>
        </w:rPr>
        <w:t xml:space="preserve"> The Principal provides electronic point of sale and e-commerce software solutions, equipment and related goods and services (the “</w:t>
      </w:r>
      <w:r>
        <w:rPr>
          <w:rFonts w:ascii="Palatino Linotype" w:hAnsi="Palatino Linotype"/>
          <w:b/>
          <w:bCs/>
        </w:rPr>
        <w:t xml:space="preserve">Principal's Services</w:t>
      </w:r>
      <w:r>
        <w:rPr>
          <w:rFonts w:ascii="Palatino Linotype" w:hAnsi="Palatino Linotype"/>
        </w:rPr>
        <w:t xml:space="preserve">”) including through certain of its affiliates and brands.</w:t>
      </w:r>
    </w:p>
    <w:p w14:paraId="756B3E83" w14:textId="1A262A94" w:rsidR="00322D90" w:rsidRPr="00AC50B1" w:rsidRDefault="00322D90" w:rsidP="004B761D">
      <w:pPr>
        <w:jc w:val="both"/>
        <w:rPr>
          <w:rFonts w:ascii="Palatino Linotype" w:hAnsi="Palatino Linotype"/>
        </w:rPr>
      </w:pPr>
      <w:r>
        <w:rPr>
          <w:rFonts w:ascii="Palatino Linotype" w:hAnsi="Palatino Linotype"/>
        </w:rPr>
        <w:tab/>
      </w:r>
      <w:r>
        <w:rPr>
          <w:rFonts w:ascii="Palatino Linotype" w:hAnsi="Palatino Linotype"/>
          <w:b/>
          <w:bCs/>
        </w:rPr>
        <w:t>WHEREAS,</w:t>
      </w:r>
      <w:r>
        <w:rPr>
          <w:rFonts w:ascii="Palatino Linotype" w:hAnsi="Palatino Linotype"/>
        </w:rPr>
        <w:t xml:space="preserve"> The Agent as a part of its business comes into contact with numerous persons and businesses that could utilise the Principal’s Services.</w:t>
      </w:r>
    </w:p>
    <w:p w14:paraId="0326B217" w14:textId="4174A0AF" w:rsidR="006C1478" w:rsidRPr="00AC50B1" w:rsidRDefault="006C1478" w:rsidP="004B761D">
      <w:pPr>
        <w:jc w:val="both"/>
        <w:rPr>
          <w:rFonts w:ascii="Palatino Linotype" w:hAnsi="Palatino Linotype"/>
        </w:rPr>
      </w:pPr>
      <w:r>
        <w:rPr>
          <w:rFonts w:ascii="Palatino Linotype" w:hAnsi="Palatino Linotype"/>
        </w:rPr>
        <w:tab/>
      </w:r>
      <w:r>
        <w:rPr>
          <w:rFonts w:ascii="Palatino Linotype" w:hAnsi="Palatino Linotype"/>
          <w:b/>
          <w:bCs/>
        </w:rPr>
        <w:t>WHEREAS,</w:t>
      </w:r>
      <w:r>
        <w:rPr>
          <w:rFonts w:ascii="Palatino Linotype" w:hAnsi="Palatino Linotype"/>
        </w:rPr>
        <w:t xml:space="preserve"> The Principal wishes to expand its active client base by retaining the Agent to assist in marketing the Principal’s Services and the Agent wishes to undertake certain duties and responsibilities in return for remuneration.</w:t>
      </w:r>
    </w:p>
    <w:p w14:paraId="638255EE" w14:textId="00F84188" w:rsidR="00E607D9" w:rsidRPr="00AC50B1" w:rsidRDefault="00E607D9" w:rsidP="004B761D">
      <w:pPr>
        <w:jc w:val="both"/>
        <w:rPr>
          <w:rFonts w:ascii="Palatino Linotype" w:hAnsi="Palatino Linotype"/>
        </w:rPr>
      </w:pPr>
      <w:r>
        <w:rPr>
          <w:rFonts w:ascii="Palatino Linotype" w:hAnsi="Palatino Linotype"/>
        </w:rPr>
        <w:tab/>
      </w:r>
      <w:r>
        <w:rPr>
          <w:rFonts w:ascii="Palatino Linotype" w:hAnsi="Palatino Linotype"/>
          <w:b/>
          <w:bCs/>
        </w:rPr>
        <w:t>THEREFORE,</w:t>
      </w:r>
      <w:r>
        <w:rPr>
          <w:rFonts w:ascii="Palatino Linotype" w:hAnsi="Palatino Linotype"/>
        </w:rPr>
        <w:t xml:space="preserve"> in consideration of good and valuable compensation, which is hereby acknowledged as received and sufficient, the parties hereby agree as follows:</w:t>
      </w:r>
    </w:p>
    <w:p w14:paraId="798B466D" w14:textId="77777777" w:rsidR="0035543C" w:rsidRPr="00AC50B1" w:rsidRDefault="0035543C" w:rsidP="004B761D">
      <w:pPr>
        <w:jc w:val="both"/>
        <w:rPr>
          <w:rFonts w:ascii="Palatino Linotype" w:hAnsi="Palatino Linotype"/>
        </w:rPr>
      </w:pPr>
    </w:p>
    <w:p w14:paraId="5D34E0FB" w14:textId="428BD6C4" w:rsidR="00930D87" w:rsidRPr="00AC50B1" w:rsidRDefault="00930D87" w:rsidP="004B761D">
      <w:pPr>
        <w:pStyle w:val="ListParagraph"/>
        <w:numPr>
          <w:ilvl w:val="0"/>
          <w:numId w:val="1"/>
        </w:numPr>
        <w:jc w:val="both"/>
        <w:rPr>
          <w:rFonts w:ascii="Palatino Linotype" w:hAnsi="Palatino Linotype"/>
        </w:rPr>
      </w:pPr>
      <w:r>
        <w:rPr>
          <w:rFonts w:ascii="Palatino Linotype" w:hAnsi="Palatino Linotype"/>
          <w:b/>
          <w:bCs/>
        </w:rPr>
        <w:t>Appointment</w:t>
      </w:r>
      <w:r>
        <w:rPr>
          <w:rFonts w:ascii="Palatino Linotype" w:hAnsi="Palatino Linotype"/>
        </w:rPr>
        <w:t xml:space="preserve">. The Principal hereby appoints the Agent as a non-exclusive referrer with the purpose of referring potential clients to utilize the services of the Principal. The Agent acknowledges and accepts the appointment and agrees to refer potential clients to the Principal in accordance with the terms and conditions set forth in this Agreement.</w:t>
      </w:r>
    </w:p>
    <w:p w14:paraId="25D6A28F" w14:textId="77777777" w:rsidR="000C426C" w:rsidRPr="00AC50B1" w:rsidRDefault="00930D87" w:rsidP="004B761D">
      <w:pPr>
        <w:pStyle w:val="ListParagraph"/>
        <w:numPr>
          <w:ilvl w:val="0"/>
          <w:numId w:val="1"/>
        </w:numPr>
        <w:jc w:val="both"/>
        <w:rPr>
          <w:rFonts w:ascii="Palatino Linotype" w:hAnsi="Palatino Linotype"/>
        </w:rPr>
      </w:pPr>
      <w:r>
        <w:rPr>
          <w:rFonts w:ascii="Palatino Linotype" w:hAnsi="Palatino Linotype"/>
          <w:b/>
          <w:bCs/>
        </w:rPr>
        <w:t>Commission</w:t>
      </w:r>
      <w:r>
        <w:rPr>
          <w:rFonts w:ascii="Palatino Linotype" w:hAnsi="Palatino Linotype"/>
        </w:rPr>
        <w:t xml:space="preserve">. The Principal shall provide compensation to the Agent for referring active clients to the Principal, in accordance with the terms and conditions of this Agreement.</w:t>
      </w:r>
    </w:p>
    <w:p>
      <w:pPr>
        <w:pStyle w:val="ListParagraph"/>
        <w:numPr>
          <w:ilvl w:val="1"/>
          <w:numId w:val="1"/>
        </w:numPr>
        <w:jc w:val="both"/>
        <w:rPr>
          <w:rFonts w:ascii="Palatino Linotype" w:hAnsi="Palatino Linotype"/>
        </w:rPr>
      </w:pPr>
      <w:r>
        <w:rPr>
          <w:rFonts w:ascii="Palatino Linotype" w:hAnsi="Palatino Linotype"/>
        </w:rPr>
        <w:t xml:space="preserve">An “active client” is a client referred by the Agent who has subscribed to the Principal’s Services and has traded using them for at least two (2) months, and who, in the calendar month concerned: (a) if on the Principal’s free Starter plan (a “Free Client”), took at least forty (40) online orders through the Principal’s Services; or (b) if on a paid plan such as Pro or Max (a “Paid Client”), paid the Principal’s subscription for that month. A client that is suspended, unpaid or closed is not an active client for that month.</w:t>
      </w:r>
    </w:p>
    <w:p>
      <w:pPr>
        <w:pStyle w:val="ListParagraph"/>
        <w:numPr>
          <w:ilvl w:val="1"/>
          <w:numId w:val="1"/>
        </w:numPr>
        <w:jc w:val="both"/>
        <w:rPr>
          <w:rFonts w:ascii="Palatino Linotype" w:hAnsi="Palatino Linotype"/>
        </w:rPr>
      </w:pPr>
      <w:r>
        <w:rPr>
          <w:rFonts w:ascii="Palatino Linotype" w:hAnsi="Palatino Linotype"/>
        </w:rPr>
        <w:t xml:space="preserve">The commission per active client per month is set by the Commission Table in Section 15. Each month, the Agent’s total number of active clients (Free Clients and Paid Clients together) sets the commission tier, and every active client is paid at that tier’s rate. For example, an Agent with 4 active Free Clients and 8 active Paid Clients (12 in total) earns 4 × £12.00 + 8 × £15.00 = £168.00 for that month. If a client upgrades or downgrades, its commission may change, and the Principal shall promptly inform the Agent.</w:t>
      </w:r>
    </w:p>
    <w:p>
      <w:pPr>
        <w:pStyle w:val="ListParagraph"/>
        <w:numPr>
          <w:ilvl w:val="2"/>
          <w:numId w:val="1"/>
        </w:numPr>
        <w:jc w:val="both"/>
        <w:rPr>
          <w:rFonts w:ascii="Palatino Linotype" w:hAnsi="Palatino Linotype"/>
        </w:rPr>
      </w:pPr>
      <w:r>
        <w:rPr>
          <w:rFonts w:ascii="Palatino Linotype" w:hAnsi="Palatino Linotype"/>
        </w:rPr>
        <w:t xml:space="preserve">When a Free Client upgrades to a paid plan:</w:t>
      </w:r>
    </w:p>
    <w:p>
      <w:pPr>
        <w:pStyle w:val="ListParagraph"/>
        <w:numPr>
          <w:ilvl w:val="3"/>
          <w:numId w:val="1"/>
        </w:numPr>
        <w:jc w:val="both"/>
        <w:rPr>
          <w:rFonts w:ascii="Palatino Linotype" w:hAnsi="Palatino Linotype"/>
        </w:rPr>
      </w:pPr>
      <w:r>
        <w:rPr>
          <w:rFonts w:ascii="Palatino Linotype" w:hAnsi="Palatino Linotype"/>
        </w:rPr>
        <w:t xml:space="preserve">if the upgrade takes place within ninety (90) days of the client signing up, or the Agent recorded the proposed upgrade in the Principal’s referral portal before it took effect, the client shall be treated as a Paid Client from the following month;</w:t>
      </w:r>
    </w:p>
    <w:p>
      <w:pPr>
        <w:pStyle w:val="ListParagraph"/>
        <w:numPr>
          <w:ilvl w:val="3"/>
          <w:numId w:val="1"/>
        </w:numPr>
        <w:jc w:val="both"/>
        <w:rPr>
          <w:rFonts w:ascii="Palatino Linotype" w:hAnsi="Palatino Linotype"/>
        </w:rPr>
      </w:pPr>
      <w:r>
        <w:rPr>
          <w:rFonts w:ascii="Palatino Linotype" w:hAnsi="Palatino Linotype"/>
        </w:rPr>
        <w:t xml:space="preserve">in any other case, the client shall continue to be treated as a Free Client.</w:t>
      </w:r>
    </w:p>
    <w:p>
      <w:pPr>
        <w:pStyle w:val="ListParagraph"/>
        <w:numPr>
          <w:ilvl w:val="2"/>
          <w:numId w:val="1"/>
        </w:numPr>
        <w:jc w:val="both"/>
        <w:rPr>
          <w:rFonts w:ascii="Palatino Linotype" w:hAnsi="Palatino Linotype"/>
        </w:rPr>
      </w:pPr>
      <w:r>
        <w:rPr>
          <w:rFonts w:ascii="Palatino Linotype" w:hAnsi="Palatino Linotype"/>
        </w:rPr>
        <w:t xml:space="preserve">When a Paid Client downgrades to the free plan, it shall be treated as a Free Client from the following month.</w:t>
      </w:r>
    </w:p>
    <w:p>
      <w:pPr>
        <w:pStyle w:val="ListParagraph"/>
        <w:numPr>
          <w:ilvl w:val="1"/>
          <w:numId w:val="1"/>
        </w:numPr>
        <w:jc w:val="both"/>
        <w:rPr>
          <w:rFonts w:ascii="Palatino Linotype" w:hAnsi="Palatino Linotype"/>
        </w:rPr>
      </w:pPr>
      <w:r>
        <w:rPr>
          <w:rFonts w:ascii="Palatino Linotype" w:hAnsi="Palatino Linotype"/>
        </w:rPr>
        <w:t xml:space="preserve">The Principal shall calculate the commission at the end of each calendar month, beginning from each client’s second month, and shall send the Agent a commission statement by email and in the Principal’s referral portal. Once the Agent’s unpaid commission reaches fifty pounds (£50.00), the Agent may submit an invoice for it, adding VAT where the Agent is VAT registered; smaller balances carry over to the following month. The Principal shall pay each valid invoice within seven (7) working days of receiving it. If a client’s payment is refunded or charged back, commission already paid on it shall be deducted from the Agent’s next statement.</w:t>
      </w:r>
    </w:p>
    <w:p>
      <w:pPr>
        <w:pStyle w:val="ListParagraph"/>
        <w:numPr>
          <w:ilvl w:val="1"/>
          <w:numId w:val="1"/>
        </w:numPr>
        <w:jc w:val="both"/>
        <w:rPr>
          <w:rFonts w:ascii="Palatino Linotype" w:hAnsi="Palatino Linotype"/>
        </w:rPr>
      </w:pPr>
      <w:r>
        <w:rPr>
          <w:rFonts w:ascii="Palatino Linotype" w:hAnsi="Palatino Linotype"/>
        </w:rPr>
        <w:t xml:space="preserve">A client is referred by the Agent if it signs up within ninety (90) days of using the Agent’s referral link, enters the Agent’s referral code when signing up, or is assigned to the Agent by the Principal in writing. The Agent shall not earn commission on any business that the Agent, or a person connected with the Agent, owns or controls.</w:t>
      </w:r>
    </w:p>
    <w:p>
      <w:pPr>
        <w:pStyle w:val="ListParagraph"/>
        <w:numPr>
          <w:ilvl w:val="0"/>
          <w:numId w:val="1"/>
        </w:numPr>
        <w:jc w:val="both"/>
        <w:rPr>
          <w:rFonts w:ascii="Palatino Linotype" w:hAnsi="Palatino Linotype"/>
        </w:rPr>
      </w:pPr>
      <w:r>
        <w:rPr>
          <w:rFonts w:ascii="Palatino Linotype" w:hAnsi="Palatino Linotype"/>
          <w:b/>
          <w:bCs/>
        </w:rPr>
        <w:t xml:space="preserve">Term</w:t>
      </w:r>
      <w:r>
        <w:rPr>
          <w:rFonts w:ascii="Palatino Linotype" w:hAnsi="Palatino Linotype"/>
        </w:rPr>
        <w:t xml:space="preserve">. The term of this Agreement shall be for a period of [12] months, commencing on the Commence Date. This Agreement shall automatically renew for successive 12-month periods, unless either party gives written notice of termination at least ninety (90) days before the end of the then-current term.</w:t>
      </w:r>
    </w:p>
    <w:p>
      <w:pPr>
        <w:pStyle w:val="ListParagraph"/>
        <w:numPr>
          <w:ilvl w:val="0"/>
          <w:numId w:val="1"/>
        </w:numPr>
        <w:jc w:val="both"/>
        <w:rPr>
          <w:rFonts w:ascii="Palatino Linotype" w:hAnsi="Palatino Linotype"/>
        </w:rPr>
      </w:pPr>
      <w:r>
        <w:rPr>
          <w:rFonts w:ascii="Palatino Linotype" w:hAnsi="Palatino Linotype"/>
          <w:b/>
          <w:bCs/>
        </w:rPr>
        <w:t xml:space="preserve">Termination</w:t>
      </w:r>
      <w:r>
        <w:rPr>
          <w:rFonts w:ascii="Palatino Linotype" w:hAnsi="Palatino Linotype"/>
        </w:rPr>
        <w:t xml:space="preserve">. Either party may terminate this Agreement at any time, with or without cause, by giving the other party ninety (90) days’ written notice. The Principal may terminate this Agreement immediately by written notice if the Agent commits a material breach of it, including fraud, misrepresenting the Principal’s Services or prices, or breaching any of Sections 8 to 12. On termination, the Agent shall immediately stop all referral activities, and clients signing up after the termination date shall not be treated as referred by the Agent. Commission on active clients referred before the termination date shall continue to be calculated and paid under Section 2 for as long as they remain active clients, except where the Principal terminated for the Agent’s material breach, in which case commission shall be paid up to the end of the month in which termination takes effect and shall then stop.</w:t>
      </w:r>
    </w:p>
    <w:p w14:paraId="21D1A7D5" w14:textId="27DF290A" w:rsidR="00930D87" w:rsidRPr="00AC50B1" w:rsidRDefault="00930D87" w:rsidP="004B761D">
      <w:pPr>
        <w:pStyle w:val="ListParagraph"/>
        <w:numPr>
          <w:ilvl w:val="0"/>
          <w:numId w:val="1"/>
        </w:numPr>
        <w:jc w:val="both"/>
        <w:rPr>
          <w:rFonts w:ascii="Palatino Linotype" w:hAnsi="Palatino Linotype"/>
        </w:rPr>
      </w:pPr>
      <w:r>
        <w:rPr>
          <w:rFonts w:ascii="Palatino Linotype" w:hAnsi="Palatino Linotype"/>
          <w:b/>
          <w:bCs/>
        </w:rPr>
        <w:t>Representations and Warranties</w:t>
      </w:r>
      <w:r>
        <w:rPr>
          <w:rFonts w:ascii="Palatino Linotype" w:hAnsi="Palatino Linotype"/>
        </w:rPr>
        <w:t xml:space="preserve">. The Agent represents and warrants that it possesses the authority to enter into this Agreement and to refer potential clients to the Principal. </w:t>
        <w:lastRenderedPageBreak/>
        <w:t xml:space="preserve">In turn, the Principal represents and warrants that it holds the right to offer its services and to pay the commission as outlined in this Agreement.</w:t>
      </w:r>
    </w:p>
    <w:p w14:paraId="18BA6252" w14:textId="69D4EB96" w:rsidR="005D70A5" w:rsidRPr="00AC50B1" w:rsidRDefault="005D70A5" w:rsidP="004B761D">
      <w:pPr>
        <w:pStyle w:val="ListParagraph"/>
        <w:numPr>
          <w:ilvl w:val="0"/>
          <w:numId w:val="1"/>
        </w:numPr>
        <w:jc w:val="both"/>
        <w:rPr>
          <w:rFonts w:ascii="Palatino Linotype" w:hAnsi="Palatino Linotype"/>
        </w:rPr>
      </w:pPr>
      <w:r>
        <w:rPr>
          <w:rFonts w:ascii="Palatino Linotype" w:hAnsi="Palatino Linotype"/>
          <w:b/>
          <w:bCs/>
        </w:rPr>
        <w:t>Disclaimer of All Warranties.</w:t>
      </w:r>
      <w:r>
        <w:rPr>
          <w:rFonts w:ascii="Palatino Linotype" w:hAnsi="Palatino Linotype"/>
        </w:rPr>
        <w:t xml:space="preserve"> The services and software provided by the Principal under this Agreement are provided "as is" without any warranty whatsoever. Both the Principal and the Agent disclaim all warranties, express, implied, or statutory, to the other party to the fullest extent permissible by law regarding any matter, including all implied warranties of merchantability, satisfactory quality, fitness for a particular purpose, and non-infringement of third-party rights. No oral or written information or advice given by the Principal or its employees or representatives shall create a warranty or representation or increase the scope of the Principal's obligations in any way. Similarly, no oral or written information or advice given by the Agent or its employees or representatives shall create a warranty or representation or increase the scope of the Agent's obligations.</w:t>
      </w:r>
    </w:p>
    <w:p w14:paraId="5F290739" w14:textId="220E29A7" w:rsidR="005D70A5" w:rsidRPr="00AC50B1" w:rsidRDefault="00030815" w:rsidP="004B761D">
      <w:pPr>
        <w:pStyle w:val="ListParagraph"/>
        <w:numPr>
          <w:ilvl w:val="0"/>
          <w:numId w:val="1"/>
        </w:numPr>
        <w:jc w:val="both"/>
        <w:rPr>
          <w:rFonts w:ascii="Palatino Linotype" w:hAnsi="Palatino Linotype"/>
        </w:rPr>
      </w:pPr>
      <w:r>
        <w:rPr>
          <w:rFonts w:ascii="Palatino Linotype" w:hAnsi="Palatino Linotype"/>
          <w:b/>
          <w:bCs/>
        </w:rPr>
        <w:t>Limitation of Liability.</w:t>
      </w:r>
      <w:r>
        <w:rPr>
          <w:rFonts w:ascii="Palatino Linotype" w:hAnsi="Palatino Linotype"/>
        </w:rPr>
        <w:t xml:space="preserve"> Neither party shall be liable to the other party for loss of data, goodwill, profits, investments, use of money or use of facilities; interruption in use or availability of data; stoppage of other work or impairment of other assets; or employment related claims or any consequential, indirect, special, incidental, reliance, or exemplary damages arising out of or relating to this Agreement or the services provided under this Agreement, whether foreseeable or unforeseeable, and whether based on breach of any express or implied warranty, breach of contract, misrepresentation, negligence, liability in tort, or other cause of action, even if that party has been advised of the possibility of such damages. Subject to the last sentence of this Section 7, under no circumstances shall either party’s total aggregate liability to the other party arising out of or related to this Agreement (whether in contract, tort or otherwise) exceed ten thousand pounds (£10,000). This Section 7 shall not apply to liability for fraud, death or personal injury caused by the negligence of the claiming party or any other liability which cannot be excluded as a matter of law.</w:t>
      </w:r>
    </w:p>
    <w:p w14:paraId="0B8FA7C6" w14:textId="047CE80F" w:rsidR="00930D87" w:rsidRPr="00AC50B1" w:rsidRDefault="00930D87" w:rsidP="004B761D">
      <w:pPr>
        <w:pStyle w:val="ListParagraph"/>
        <w:numPr>
          <w:ilvl w:val="0"/>
          <w:numId w:val="1"/>
        </w:numPr>
        <w:jc w:val="both"/>
        <w:rPr>
          <w:rFonts w:ascii="Palatino Linotype" w:hAnsi="Palatino Linotype"/>
        </w:rPr>
      </w:pPr>
      <w:r>
        <w:rPr>
          <w:rFonts w:ascii="Palatino Linotype" w:hAnsi="Palatino Linotype"/>
          <w:b/>
          <w:bCs/>
        </w:rPr>
        <w:t>Confidentiality</w:t>
      </w:r>
      <w:r>
        <w:rPr>
          <w:rFonts w:ascii="Palatino Linotype" w:hAnsi="Palatino Linotype"/>
        </w:rPr>
        <w:t xml:space="preserve">. Agent shall maintain the confidentiality of all proprietary and confidential information of Principal, including client lists, pricing information, and trade secrets. Agent shall not use such information for its own benefit or disclose such information to any third party. With the exception where each party may disclose the other party’s confidential information to employees, personnel, consultants and agents who need to have access thereto for the receiving party’s internal business </w:t>
        <w:lastRenderedPageBreak/>
        <w:t xml:space="preserve">purposes. Each party shall take all necessary steps to ensure that its employees, personnel, consultants and agents are informed of and comply with the confidentiality restrictions contained in this Agreement and shall be liable for any breach by them; and as may be required by law, a court of competent jurisdiction or any governmental or regulatory authority.</w:t>
      </w:r>
    </w:p>
    <w:p>
      <w:pPr>
        <w:pStyle w:val="ListParagraph"/>
        <w:numPr>
          <w:ilvl w:val="0"/>
          <w:numId w:val="1"/>
        </w:numPr>
        <w:jc w:val="both"/>
        <w:rPr>
          <w:rFonts w:ascii="Palatino Linotype" w:hAnsi="Palatino Linotype"/>
        </w:rPr>
      </w:pPr>
      <w:r>
        <w:rPr>
          <w:rFonts w:ascii="Palatino Linotype" w:hAnsi="Palatino Linotype"/>
          <w:b/>
          <w:bCs/>
        </w:rPr>
        <w:t xml:space="preserve">Agent Conduct</w:t>
      </w:r>
      <w:r>
        <w:rPr>
          <w:rFonts w:ascii="Palatino Linotype" w:hAnsi="Palatino Linotype"/>
        </w:rPr>
        <w:t xml:space="preserve">. The Agent shall describe the Principal’s Services accurately and quote only the Principal’s published prices and offers. The Agent shall not promise any discount, feature or other term that the Principal has not approved in writing, and shall not hold itself out as entitled to bind the Principal.</w:t>
      </w:r>
    </w:p>
    <w:p>
      <w:pPr>
        <w:pStyle w:val="ListParagraph"/>
        <w:numPr>
          <w:ilvl w:val="0"/>
          <w:numId w:val="1"/>
        </w:numPr>
        <w:jc w:val="both"/>
        <w:rPr>
          <w:rFonts w:ascii="Palatino Linotype" w:hAnsi="Palatino Linotype"/>
        </w:rPr>
      </w:pPr>
      <w:r>
        <w:rPr>
          <w:rFonts w:ascii="Palatino Linotype" w:hAnsi="Palatino Linotype"/>
          <w:b/>
          <w:bCs/>
        </w:rPr>
        <w:t xml:space="preserve">Data Protection</w:t>
      </w:r>
      <w:r>
        <w:rPr>
          <w:rFonts w:ascii="Palatino Linotype" w:hAnsi="Palatino Linotype"/>
        </w:rPr>
        <w:t xml:space="preserve">. Each party shall comply with the UK General Data Protection Regulation and the Data Protection Act 2018. The Agent shall only pass a potential client’s personal data to the Principal with that person’s consent or another lawful basis, and shall keep any personal data received under this Agreement secure and use it only for the purposes of this Agreement.</w:t>
      </w:r>
    </w:p>
    <w:p>
      <w:pPr>
        <w:pStyle w:val="ListParagraph"/>
        <w:numPr>
          <w:ilvl w:val="0"/>
          <w:numId w:val="1"/>
        </w:numPr>
        <w:jc w:val="both"/>
        <w:rPr>
          <w:rFonts w:ascii="Palatino Linotype" w:hAnsi="Palatino Linotype"/>
        </w:rPr>
      </w:pPr>
      <w:r>
        <w:rPr>
          <w:rFonts w:ascii="Palatino Linotype" w:hAnsi="Palatino Linotype"/>
          <w:b/>
          <w:bCs/>
        </w:rPr>
        <w:t xml:space="preserve">Anti-Bribery</w:t>
      </w:r>
      <w:r>
        <w:rPr>
          <w:rFonts w:ascii="Palatino Linotype" w:hAnsi="Palatino Linotype"/>
        </w:rPr>
        <w:t xml:space="preserve">. Each party shall comply with the Bribery Act 2010 and shall not offer, give or accept any bribe or other improper payment in connection with this Agreement.</w:t>
      </w:r>
    </w:p>
    <w:p>
      <w:pPr>
        <w:pStyle w:val="ListParagraph"/>
        <w:numPr>
          <w:ilvl w:val="0"/>
          <w:numId w:val="1"/>
        </w:numPr>
        <w:jc w:val="both"/>
        <w:rPr>
          <w:rFonts w:ascii="Palatino Linotype" w:hAnsi="Palatino Linotype"/>
        </w:rPr>
      </w:pPr>
      <w:r>
        <w:rPr>
          <w:rFonts w:ascii="Palatino Linotype" w:hAnsi="Palatino Linotype"/>
          <w:b/>
          <w:bCs/>
        </w:rPr>
        <w:t xml:space="preserve">Independent Contractor</w:t>
      </w:r>
      <w:r>
        <w:rPr>
          <w:rFonts w:ascii="Palatino Linotype" w:hAnsi="Palatino Linotype"/>
        </w:rPr>
        <w:t xml:space="preserve">. The Agent acts as an independent contractor. Nothing in this Agreement creates an employment, partnership or joint venture between the parties. The Agent is responsible for its own tax, National Insurance and VAT on the commission it receives.</w:t>
      </w:r>
    </w:p>
    <w:p w14:paraId="7ED57EC3" w14:textId="0343FAF4" w:rsidR="00930D87" w:rsidRPr="00AC50B1" w:rsidRDefault="00930D87" w:rsidP="004B761D">
      <w:pPr>
        <w:pStyle w:val="ListParagraph"/>
        <w:numPr>
          <w:ilvl w:val="0"/>
          <w:numId w:val="1"/>
        </w:numPr>
        <w:jc w:val="both"/>
        <w:rPr>
          <w:rFonts w:ascii="Palatino Linotype" w:hAnsi="Palatino Linotype"/>
        </w:rPr>
      </w:pPr>
      <w:r>
        <w:rPr>
          <w:rFonts w:ascii="Palatino Linotype" w:hAnsi="Palatino Linotype"/>
          <w:b/>
          <w:bCs/>
        </w:rPr>
        <w:t>Governing Law</w:t>
      </w:r>
      <w:r>
        <w:rPr>
          <w:rFonts w:ascii="Palatino Linotype" w:hAnsi="Palatino Linotype"/>
        </w:rPr>
        <w:t xml:space="preserve">. This Agreement shall be governed by and construed in accordance with the laws of England (irrespective of its choice of law principles). The parties hereby agree that any claim or proceedings to enforce any provision of this Agreement or arising out of or based upon this Agreement or the business relationship between the parties hereto shall be brought in the English courts. Each party hereby agrees that such courts shall have exclusive jurisdiction but each of the parties also hereby agrees that it will use all reasonable efforts to resolve any disputes through discussion by senior representatives of each party, who will be obliged, in the event that either party notifies the other that it considers there to be a dispute, to meet and seek to resolve such dispute, acting in good faith</w:t>
      </w:r>
    </w:p>
    <w:p w14:paraId="73434D7C" w14:textId="26B9772E" w:rsidR="00930D87" w:rsidRPr="00AC50B1" w:rsidRDefault="00930D87" w:rsidP="004B761D">
      <w:pPr>
        <w:pStyle w:val="ListParagraph"/>
        <w:numPr>
          <w:ilvl w:val="0"/>
          <w:numId w:val="1"/>
        </w:numPr>
        <w:jc w:val="both"/>
        <w:rPr>
          <w:rFonts w:ascii="Palatino Linotype" w:hAnsi="Palatino Linotype"/>
        </w:rPr>
      </w:pPr>
      <w:r>
        <w:rPr>
          <w:rFonts w:ascii="Palatino Linotype" w:hAnsi="Palatino Linotype"/>
          <w:b/>
          <w:bCs/>
        </w:rPr>
        <w:t>Entire Agreement</w:t>
      </w:r>
      <w:r>
        <w:rPr>
          <w:rFonts w:ascii="Palatino Linotype" w:hAnsi="Palatino Linotype"/>
        </w:rPr>
        <w:t>. This Agreement contains the entire understanding of the parties and supersedes all prior negotiations, understandings, and agreements between the parties, whether written or oral. This Agreement may not be amended except in writing signed by both parties.</w:t>
      </w:r>
    </w:p>
    <w:p w14:paraId="341DE552" w14:textId="0D7E3F9A" w:rsidR="006A5B7E" w:rsidRPr="00AC50B1" w:rsidRDefault="006A5B7E" w:rsidP="004B761D">
      <w:pPr>
        <w:pStyle w:val="ListParagraph"/>
        <w:numPr>
          <w:ilvl w:val="0"/>
          <w:numId w:val="1"/>
        </w:numPr>
        <w:jc w:val="both"/>
        <w:rPr>
          <w:rFonts w:ascii="Palatino Linotype" w:hAnsi="Palatino Linotype"/>
        </w:rPr>
      </w:pPr>
      <w:r>
        <w:rPr>
          <w:rFonts w:ascii="Palatino Linotype" w:hAnsi="Palatino Linotype"/>
          <w:b/>
          <w:bCs/>
        </w:rPr>
        <w:t>Commission Table</w:t>
      </w:r>
      <w:r>
        <w:rPr>
          <w:rFonts w:ascii="Palatino Linotype" w:hAnsi="Palatino Linotype"/>
        </w:rPr>
        <w:t xml:space="preserve">. Every active client is paid at the rate for the Agent’s total number of active clients that month (see Section 2.2). All amounts exclude VAT.</w:t>
      </w:r>
    </w:p>
    <w:tbl>
      <w:tblPr>
        <w:tblStyle w:val="TableGrid"/>
        <w:tblW w:w="9067" w:type="dxa"/>
        <w:tblLook w:val="04A0" w:firstRow="1" w:lastRow="0" w:firstColumn="1" w:lastColumn="0" w:noHBand="0" w:noVBand="1"/>
      </w:tblPr>
      <w:tblGrid>
        <w:gridCol w:w="2332"/>
        <w:gridCol w:w="3253"/>
        <w:gridCol w:w="3482"/>
      </w:tblGrid>
      <w:tr w:rsidR="00EB7CD4" w:rsidRPr="00AC50B1" w14:paraId="288993D4" w14:textId="5052076D" w:rsidTr="00AD4F7F">
        <w:tc>
          <w:tcPr>
            <w:tcW w:w="2332" w:type="dxa"/>
            <w:shd w:val="clear" w:color="auto" w:fill="E7E6E6" w:themeFill="background2"/>
          </w:tcPr>
          <w:p w14:paraId="43B28175" w14:textId="4138DB1E" w:rsidR="00EB7CD4" w:rsidRPr="00AC50B1" w:rsidRDefault="00EB7CD4" w:rsidP="004B761D">
            <w:pPr>
              <w:jc w:val="both"/>
              <w:rPr>
                <w:rFonts w:ascii="Palatino Linotype" w:hAnsi="Palatino Linotype"/>
              </w:rPr>
            </w:pPr>
            <w:r>
              <w:rPr>
                <w:rFonts w:ascii="Palatino Linotype" w:hAnsi="Palatino Linotype"/>
              </w:rPr>
              <w:t>Total Active Clients</w:t>
            </w:r>
          </w:p>
        </w:tc>
        <w:tc>
          <w:tcPr>
            <w:tcW w:w="3253" w:type="dxa"/>
            <w:shd w:val="clear" w:color="auto" w:fill="E7E6E6" w:themeFill="background2"/>
          </w:tcPr>
          <w:p w14:paraId="321D4916" w14:textId="1A4BB324" w:rsidR="00EB7CD4" w:rsidRPr="00AC50B1" w:rsidRDefault="00EB7CD4" w:rsidP="004B761D">
            <w:pPr>
              <w:jc w:val="both"/>
              <w:rPr>
                <w:rFonts w:ascii="Palatino Linotype" w:hAnsi="Palatino Linotype"/>
              </w:rPr>
            </w:pPr>
            <w:r>
              <w:rPr>
                <w:rFonts w:ascii="Palatino Linotype" w:hAnsi="Palatino Linotype"/>
              </w:rPr>
              <w:t>Commission per Free Client (Starter)</w:t>
            </w:r>
          </w:p>
        </w:tc>
        <w:tc>
          <w:tcPr>
            <w:tcW w:w="3482" w:type="dxa"/>
            <w:shd w:val="clear" w:color="auto" w:fill="E7E6E6" w:themeFill="background2"/>
          </w:tcPr>
          <w:p w14:paraId="75F3B3FD" w14:textId="04E4A054" w:rsidR="00EB7CD4" w:rsidRPr="00AC50B1" w:rsidRDefault="00EB7CD4" w:rsidP="004B761D">
            <w:pPr>
              <w:jc w:val="both"/>
              <w:rPr>
                <w:rFonts w:ascii="Palatino Linotype" w:hAnsi="Palatino Linotype"/>
              </w:rPr>
            </w:pPr>
            <w:r>
              <w:rPr>
                <w:rFonts w:ascii="Palatino Linotype" w:hAnsi="Palatino Linotype"/>
              </w:rPr>
              <w:t>Commission per Paid Client (Pro or Max)</w:t>
            </w:r>
          </w:p>
        </w:tc>
      </w:tr>
      <w:tr w:rsidR="00EB7CD4" w:rsidRPr="00AC50B1" w14:paraId="035ECB84" w14:textId="7395611E" w:rsidTr="00AD4F7F">
        <w:tc>
          <w:tcPr>
            <w:tcW w:w="2332" w:type="dxa"/>
          </w:tcPr>
          <w:p w14:paraId="40F906C1" w14:textId="759E4494" w:rsidR="00EB7CD4" w:rsidRPr="00AC50B1" w:rsidRDefault="00EB7CD4" w:rsidP="004B761D">
            <w:pPr>
              <w:jc w:val="both"/>
              <w:rPr>
                <w:rFonts w:ascii="Palatino Linotype" w:hAnsi="Palatino Linotype"/>
              </w:rPr>
            </w:pPr>
            <w:r>
              <w:rPr>
                <w:rFonts w:ascii="Palatino Linotype" w:hAnsi="Palatino Linotype"/>
              </w:rPr>
              <w:t>[1 – 5]</w:t>
            </w:r>
          </w:p>
        </w:tc>
        <w:tc>
          <w:tcPr>
            <w:tcW w:w="3253" w:type="dxa"/>
          </w:tcPr>
          <w:p w14:paraId="2C84F2AE" w14:textId="05A69174" w:rsidR="00EB7CD4" w:rsidRPr="00AC50B1" w:rsidRDefault="00EB7CD4" w:rsidP="004B761D">
            <w:pPr>
              <w:jc w:val="both"/>
              <w:rPr>
                <w:rFonts w:ascii="Palatino Linotype" w:hAnsi="Palatino Linotype"/>
              </w:rPr>
            </w:pPr>
            <w:r>
              <w:rPr>
                <w:rFonts w:ascii="Palatino Linotype" w:hAnsi="Palatino Linotype"/>
              </w:rPr>
              <w:t xml:space="preserve">£6.00 / Month</w:t>
            </w:r>
          </w:p>
        </w:tc>
        <w:tc>
          <w:tcPr>
            <w:tcW w:w="3482" w:type="dxa"/>
          </w:tcPr>
          <w:p w14:paraId="44BBA3D3" w14:textId="631E5FA7" w:rsidR="00EB7CD4" w:rsidRPr="00AC50B1" w:rsidRDefault="00EB7CD4" w:rsidP="004B761D">
            <w:pPr>
              <w:jc w:val="both"/>
              <w:rPr>
                <w:rFonts w:ascii="Palatino Linotype" w:hAnsi="Palatino Linotype"/>
              </w:rPr>
            </w:pPr>
            <w:r>
              <w:rPr>
                <w:rFonts w:ascii="Palatino Linotype" w:hAnsi="Palatino Linotype"/>
              </w:rPr>
              <w:t xml:space="preserve">£10.00 / Month</w:t>
            </w:r>
          </w:p>
        </w:tc>
      </w:tr>
      <w:tr w:rsidR="00EB7CD4" w:rsidRPr="00AC50B1" w14:paraId="5ED857A0" w14:textId="5BEB2073" w:rsidTr="00AD4F7F">
        <w:tc>
          <w:tcPr>
            <w:tcW w:w="2332" w:type="dxa"/>
          </w:tcPr>
          <w:p w14:paraId="66B2334F" w14:textId="146E1F34" w:rsidR="00EB7CD4" w:rsidRPr="00AC50B1" w:rsidRDefault="00EB7CD4" w:rsidP="004B761D">
            <w:pPr>
              <w:jc w:val="both"/>
              <w:rPr>
                <w:rFonts w:ascii="Palatino Linotype" w:hAnsi="Palatino Linotype"/>
              </w:rPr>
            </w:pPr>
            <w:r>
              <w:rPr>
                <w:rFonts w:ascii="Palatino Linotype" w:hAnsi="Palatino Linotype"/>
              </w:rPr>
              <w:t>[6 – 10]</w:t>
            </w:r>
          </w:p>
        </w:tc>
        <w:tc>
          <w:tcPr>
            <w:tcW w:w="3253" w:type="dxa"/>
          </w:tcPr>
          <w:p w14:paraId="5D674BEB" w14:textId="6E6A0262" w:rsidR="00EB7CD4" w:rsidRPr="00AC50B1" w:rsidRDefault="00EB7CD4" w:rsidP="004B761D">
            <w:pPr>
              <w:jc w:val="both"/>
              <w:rPr>
                <w:rFonts w:ascii="Palatino Linotype" w:hAnsi="Palatino Linotype"/>
              </w:rPr>
            </w:pPr>
            <w:r>
              <w:rPr>
                <w:rFonts w:ascii="Palatino Linotype" w:hAnsi="Palatino Linotype"/>
              </w:rPr>
              <w:t xml:space="preserve">£10.00 / Month</w:t>
            </w:r>
          </w:p>
        </w:tc>
        <w:tc>
          <w:tcPr>
            <w:tcW w:w="3482" w:type="dxa"/>
          </w:tcPr>
          <w:p w14:paraId="6648D250" w14:textId="283091B8" w:rsidR="00EB7CD4" w:rsidRPr="00AC50B1" w:rsidRDefault="00EB7CD4" w:rsidP="004B761D">
            <w:pPr>
              <w:jc w:val="both"/>
              <w:rPr>
                <w:rFonts w:ascii="Palatino Linotype" w:hAnsi="Palatino Linotype"/>
              </w:rPr>
            </w:pPr>
            <w:r>
              <w:rPr>
                <w:rFonts w:ascii="Palatino Linotype" w:hAnsi="Palatino Linotype"/>
              </w:rPr>
              <w:t xml:space="preserve">£12.00 / Month</w:t>
            </w:r>
          </w:p>
        </w:tc>
      </w:tr>
      <w:tr w:rsidR="00EB7CD4" w:rsidRPr="00AC50B1" w14:paraId="1A1600BB" w14:textId="2BE23559" w:rsidTr="00AD4F7F">
        <w:tc>
          <w:tcPr>
            <w:tcW w:w="2332" w:type="dxa"/>
          </w:tcPr>
          <w:p w14:paraId="2CA68C7D" w14:textId="27247614" w:rsidR="00EB7CD4" w:rsidRPr="00AC50B1" w:rsidRDefault="00EB7CD4" w:rsidP="004B761D">
            <w:pPr>
              <w:jc w:val="both"/>
              <w:rPr>
                <w:rFonts w:ascii="Palatino Linotype" w:hAnsi="Palatino Linotype"/>
              </w:rPr>
            </w:pPr>
            <w:r>
              <w:rPr>
                <w:rFonts w:ascii="Palatino Linotype" w:hAnsi="Palatino Linotype"/>
              </w:rPr>
              <w:t>[11 - 15]</w:t>
            </w:r>
          </w:p>
        </w:tc>
        <w:tc>
          <w:tcPr>
            <w:tcW w:w="3253" w:type="dxa"/>
          </w:tcPr>
          <w:p w14:paraId="0C685874" w14:textId="03FCA5A0" w:rsidR="00EB7CD4" w:rsidRPr="00AC50B1" w:rsidRDefault="00EB7CD4" w:rsidP="004B761D">
            <w:pPr>
              <w:jc w:val="both"/>
              <w:rPr>
                <w:rFonts w:ascii="Palatino Linotype" w:hAnsi="Palatino Linotype"/>
              </w:rPr>
            </w:pPr>
            <w:r>
              <w:rPr>
                <w:rFonts w:ascii="Palatino Linotype" w:hAnsi="Palatino Linotype"/>
              </w:rPr>
              <w:t xml:space="preserve">£12.00 / Month</w:t>
            </w:r>
          </w:p>
        </w:tc>
        <w:tc>
          <w:tcPr>
            <w:tcW w:w="3482" w:type="dxa"/>
          </w:tcPr>
          <w:p w14:paraId="20255D05" w14:textId="4B6B7404" w:rsidR="00EB7CD4" w:rsidRPr="00AC50B1" w:rsidRDefault="00EB7CD4" w:rsidP="004B761D">
            <w:pPr>
              <w:jc w:val="both"/>
              <w:rPr>
                <w:rFonts w:ascii="Palatino Linotype" w:hAnsi="Palatino Linotype"/>
              </w:rPr>
            </w:pPr>
            <w:r>
              <w:rPr>
                <w:rFonts w:ascii="Palatino Linotype" w:hAnsi="Palatino Linotype"/>
              </w:rPr>
              <w:t xml:space="preserve">£15.00 / Month</w:t>
            </w:r>
          </w:p>
        </w:tc>
      </w:tr>
      <w:tr w:rsidR="00EB7CD4" w:rsidRPr="00AC50B1" w14:paraId="41C5C700" w14:textId="77777777" w:rsidTr="00AD4F7F">
        <w:tc>
          <w:tcPr>
            <w:tcW w:w="2332" w:type="dxa"/>
          </w:tcPr>
          <w:p w14:paraId="7B0B8CAA" w14:textId="2EABD2B7" w:rsidR="00EB7CD4" w:rsidRPr="00AC50B1" w:rsidRDefault="00EB7CD4" w:rsidP="004B761D">
            <w:pPr>
              <w:jc w:val="both"/>
              <w:rPr>
                <w:rFonts w:ascii="Palatino Linotype" w:hAnsi="Palatino Linotype"/>
              </w:rPr>
            </w:pPr>
            <w:r>
              <w:rPr>
                <w:rFonts w:ascii="Palatino Linotype" w:hAnsi="Palatino Linotype"/>
              </w:rPr>
              <w:t>[16 and above]</w:t>
            </w:r>
          </w:p>
        </w:tc>
        <w:tc>
          <w:tcPr>
            <w:tcW w:w="3253" w:type="dxa"/>
          </w:tcPr>
          <w:p w14:paraId="05205B49" w14:textId="08DEA924" w:rsidR="00EB7CD4" w:rsidRPr="00AC50B1" w:rsidRDefault="00EB7CD4" w:rsidP="004B761D">
            <w:pPr>
              <w:jc w:val="both"/>
              <w:rPr>
                <w:rFonts w:ascii="Palatino Linotype" w:hAnsi="Palatino Linotype"/>
              </w:rPr>
            </w:pPr>
            <w:r>
              <w:rPr>
                <w:rFonts w:ascii="Palatino Linotype" w:hAnsi="Palatino Linotype"/>
              </w:rPr>
              <w:t xml:space="preserve">£15.00 / Month</w:t>
            </w:r>
          </w:p>
        </w:tc>
        <w:tc>
          <w:tcPr>
            <w:tcW w:w="3482" w:type="dxa"/>
          </w:tcPr>
          <w:p w14:paraId="455AA702" w14:textId="149E0A60" w:rsidR="00EB7CD4" w:rsidRPr="00AC50B1" w:rsidRDefault="00EB7CD4" w:rsidP="004B761D">
            <w:pPr>
              <w:jc w:val="both"/>
              <w:rPr>
                <w:rFonts w:ascii="Palatino Linotype" w:hAnsi="Palatino Linotype"/>
              </w:rPr>
            </w:pPr>
            <w:r>
              <w:rPr>
                <w:rFonts w:ascii="Palatino Linotype" w:hAnsi="Palatino Linotype"/>
              </w:rPr>
              <w:t xml:space="preserve">£25.00 / Month</w:t>
            </w:r>
          </w:p>
        </w:tc>
      </w:tr>
    </w:tbl>
    <w:p w14:paraId="3986B743" w14:textId="77777777" w:rsidR="003F3257" w:rsidRDefault="003F3257" w:rsidP="004B761D">
      <w:pPr>
        <w:jc w:val="both"/>
        <w:rPr>
          <w:rFonts w:ascii="Palatino Linotype" w:hAnsi="Palatino Linotype"/>
        </w:rPr>
      </w:pPr>
    </w:p>
    <w:p w14:paraId="44DA478D" w14:textId="6C9F6230" w:rsidR="00930D87" w:rsidRPr="00AC50B1" w:rsidRDefault="00930D87" w:rsidP="004B761D">
      <w:pPr>
        <w:jc w:val="both"/>
        <w:rPr>
          <w:rFonts w:ascii="Palatino Linotype" w:hAnsi="Palatino Linotype"/>
        </w:rPr>
      </w:pPr>
      <w:r>
        <w:rPr>
          <w:rFonts w:ascii="Palatino Linotype" w:hAnsi="Palatino Linotype"/>
        </w:rPr>
        <w:t>IN WITNESS WHEREOF, the parties have executed this Agreement as of the date first above written.</w:t>
      </w:r>
    </w:p>
    <w:p w14:paraId="3053A70A" w14:textId="77777777" w:rsidR="00930D87" w:rsidRPr="00AC50B1" w:rsidRDefault="00930D87" w:rsidP="004B761D">
      <w:pPr>
        <w:jc w:val="both"/>
        <w:rPr>
          <w:rFonts w:ascii="Palatino Linotype" w:hAnsi="Palatino Linotype"/>
        </w:rPr>
      </w:pPr>
      <w:r>
        <w:rPr>
          <w:rFonts w:ascii="Palatino Linotype" w:hAnsi="Palatino Linotype"/>
          <w:b/>
          <w:bCs/>
        </w:rPr>
        <w:t>Gofood.uk Online Ltd</w:t>
      </w:r>
      <w:r>
        <w:rPr>
          <w:rFonts w:ascii="Palatino Linotype" w:hAnsi="Palatino Linotype"/>
        </w:rPr>
        <w:t>: [Authorized Signature]</w:t>
      </w:r>
    </w:p>
    <w:p w14:paraId="143BE8C0" w14:textId="678114D9" w:rsidR="00930D87" w:rsidRPr="00AC50B1" w:rsidRDefault="00930D87" w:rsidP="004B761D">
      <w:pPr>
        <w:jc w:val="both"/>
        <w:rPr>
          <w:rFonts w:ascii="Palatino Linotype" w:hAnsi="Palatino Linotype"/>
        </w:rPr>
      </w:pPr>
    </w:p>
    <w:p w14:paraId="05F4C736" w14:textId="7A9FFB32" w:rsidR="008A7030" w:rsidRPr="00AC50B1" w:rsidRDefault="00FE28DB" w:rsidP="004B761D">
      <w:pPr>
        <w:jc w:val="both"/>
        <w:rPr>
          <w:rFonts w:ascii="Palatino Linotype" w:hAnsi="Palatino Linotype"/>
        </w:rPr>
      </w:pPr>
      <w:r>
        <w:rPr>
          <w:rFonts w:ascii="Palatino Linotype" w:hAnsi="Palatino Linotype"/>
          <w:b/>
          <w:bCs/>
        </w:rPr>
        <w:t>Agent</w:t>
      </w:r>
      <w:r>
        <w:rPr>
          <w:rFonts w:ascii="Palatino Linotype" w:hAnsi="Palatino Linotype"/>
        </w:rPr>
        <w:t>: [Authorized Signature]</w:t>
      </w:r>
    </w:p>
    <w:sectPr w:rsidR="008A7030" w:rsidRPr="00AC50B1" w:rsidSect="0007563F">
      <w:pgSz w:w="11906" w:h="16838"/>
      <w:pgMar w:top="3289" w:right="1440" w:bottom="243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ZYaoTi">
    <w:altName w:val="SimSun"/>
    <w:panose1 w:val="00000000000000000000"/>
    <w:charset w:val="86"/>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STFangsong">
    <w:altName w:val="华文仿宋"/>
    <w:charset w:val="86"/>
    <w:family w:val="auto"/>
    <w:pitch w:val="variable"/>
    <w:sig w:usb0="00000287" w:usb1="080F0000" w:usb2="00000010" w:usb3="00000000" w:csb0="000400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67DE4"/>
    <w:multiLevelType w:val="multilevel"/>
    <w:tmpl w:val="2DCC5AE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667FE2"/>
    <w:multiLevelType w:val="hybridMultilevel"/>
    <w:tmpl w:val="8F149664"/>
    <w:lvl w:ilvl="0" w:tplc="D8C48102">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3246DC"/>
    <w:multiLevelType w:val="hybridMultilevel"/>
    <w:tmpl w:val="AD4817E8"/>
    <w:lvl w:ilvl="0" w:tplc="C3F2AA0A">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392A46"/>
    <w:multiLevelType w:val="hybridMultilevel"/>
    <w:tmpl w:val="56BA8D0E"/>
    <w:lvl w:ilvl="0" w:tplc="D700B6F4">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6931495">
    <w:abstractNumId w:val="0"/>
  </w:num>
  <w:num w:numId="2" w16cid:durableId="1936549700">
    <w:abstractNumId w:val="2"/>
  </w:num>
  <w:num w:numId="3" w16cid:durableId="1166481088">
    <w:abstractNumId w:val="3"/>
  </w:num>
  <w:num w:numId="4" w16cid:durableId="40524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87"/>
    <w:rsid w:val="00001EFE"/>
    <w:rsid w:val="000163C6"/>
    <w:rsid w:val="00020A69"/>
    <w:rsid w:val="00030815"/>
    <w:rsid w:val="000325F1"/>
    <w:rsid w:val="000417A0"/>
    <w:rsid w:val="00042CA3"/>
    <w:rsid w:val="00070B52"/>
    <w:rsid w:val="0007563F"/>
    <w:rsid w:val="000854C2"/>
    <w:rsid w:val="0009006D"/>
    <w:rsid w:val="00091B52"/>
    <w:rsid w:val="000A2E9F"/>
    <w:rsid w:val="000A33DD"/>
    <w:rsid w:val="000B3F74"/>
    <w:rsid w:val="000C426C"/>
    <w:rsid w:val="000D1E6C"/>
    <w:rsid w:val="000D3D51"/>
    <w:rsid w:val="000E0992"/>
    <w:rsid w:val="000F09F2"/>
    <w:rsid w:val="000F1458"/>
    <w:rsid w:val="00102ED1"/>
    <w:rsid w:val="00112C55"/>
    <w:rsid w:val="00123756"/>
    <w:rsid w:val="0014701A"/>
    <w:rsid w:val="00147C56"/>
    <w:rsid w:val="00150E24"/>
    <w:rsid w:val="00155EB0"/>
    <w:rsid w:val="00156ED1"/>
    <w:rsid w:val="00163C31"/>
    <w:rsid w:val="00174031"/>
    <w:rsid w:val="00191A19"/>
    <w:rsid w:val="00196959"/>
    <w:rsid w:val="001A5FBC"/>
    <w:rsid w:val="001C3181"/>
    <w:rsid w:val="001D7624"/>
    <w:rsid w:val="001F6882"/>
    <w:rsid w:val="00213309"/>
    <w:rsid w:val="00214136"/>
    <w:rsid w:val="002162D9"/>
    <w:rsid w:val="00216A50"/>
    <w:rsid w:val="0021741B"/>
    <w:rsid w:val="0022084D"/>
    <w:rsid w:val="00231498"/>
    <w:rsid w:val="00241899"/>
    <w:rsid w:val="002629C3"/>
    <w:rsid w:val="00265435"/>
    <w:rsid w:val="0026714E"/>
    <w:rsid w:val="00290584"/>
    <w:rsid w:val="0029204A"/>
    <w:rsid w:val="002B5755"/>
    <w:rsid w:val="002C22D6"/>
    <w:rsid w:val="002F16E9"/>
    <w:rsid w:val="0030796E"/>
    <w:rsid w:val="00315782"/>
    <w:rsid w:val="00322D90"/>
    <w:rsid w:val="0033123F"/>
    <w:rsid w:val="00332EC5"/>
    <w:rsid w:val="0034599A"/>
    <w:rsid w:val="0035543C"/>
    <w:rsid w:val="00362AFF"/>
    <w:rsid w:val="003876F1"/>
    <w:rsid w:val="003D3F88"/>
    <w:rsid w:val="003D4F1F"/>
    <w:rsid w:val="003D54DE"/>
    <w:rsid w:val="003E0828"/>
    <w:rsid w:val="003F0C6F"/>
    <w:rsid w:val="003F3257"/>
    <w:rsid w:val="00412B76"/>
    <w:rsid w:val="00445502"/>
    <w:rsid w:val="00455641"/>
    <w:rsid w:val="00456091"/>
    <w:rsid w:val="004909F3"/>
    <w:rsid w:val="004A3FF4"/>
    <w:rsid w:val="004B761D"/>
    <w:rsid w:val="004D0B8E"/>
    <w:rsid w:val="004D25B4"/>
    <w:rsid w:val="004E3B28"/>
    <w:rsid w:val="004F136D"/>
    <w:rsid w:val="00502BFF"/>
    <w:rsid w:val="00502CCA"/>
    <w:rsid w:val="00510429"/>
    <w:rsid w:val="00541ACD"/>
    <w:rsid w:val="00587FA3"/>
    <w:rsid w:val="00593274"/>
    <w:rsid w:val="00593871"/>
    <w:rsid w:val="00594980"/>
    <w:rsid w:val="005B5FF9"/>
    <w:rsid w:val="005C7C07"/>
    <w:rsid w:val="005D70A5"/>
    <w:rsid w:val="005E7421"/>
    <w:rsid w:val="005F7B87"/>
    <w:rsid w:val="00606B10"/>
    <w:rsid w:val="00616DEF"/>
    <w:rsid w:val="00687914"/>
    <w:rsid w:val="006A5B7E"/>
    <w:rsid w:val="006C1478"/>
    <w:rsid w:val="006C3D57"/>
    <w:rsid w:val="006C6981"/>
    <w:rsid w:val="006E169A"/>
    <w:rsid w:val="006F0C29"/>
    <w:rsid w:val="00735D11"/>
    <w:rsid w:val="007378C6"/>
    <w:rsid w:val="007511F5"/>
    <w:rsid w:val="00787C0C"/>
    <w:rsid w:val="007932D6"/>
    <w:rsid w:val="007B11C9"/>
    <w:rsid w:val="00813253"/>
    <w:rsid w:val="008159D3"/>
    <w:rsid w:val="008170EC"/>
    <w:rsid w:val="00823EF9"/>
    <w:rsid w:val="00831C96"/>
    <w:rsid w:val="0088275C"/>
    <w:rsid w:val="008A096C"/>
    <w:rsid w:val="008A6E0E"/>
    <w:rsid w:val="008A7030"/>
    <w:rsid w:val="008C1993"/>
    <w:rsid w:val="008C4059"/>
    <w:rsid w:val="008F2EAC"/>
    <w:rsid w:val="009149EA"/>
    <w:rsid w:val="00916F57"/>
    <w:rsid w:val="00930D87"/>
    <w:rsid w:val="0093378C"/>
    <w:rsid w:val="00940D38"/>
    <w:rsid w:val="0095579F"/>
    <w:rsid w:val="00970D88"/>
    <w:rsid w:val="0097471B"/>
    <w:rsid w:val="0097593C"/>
    <w:rsid w:val="009762FA"/>
    <w:rsid w:val="00985947"/>
    <w:rsid w:val="0099592E"/>
    <w:rsid w:val="009A2EE4"/>
    <w:rsid w:val="009C25C6"/>
    <w:rsid w:val="009D1A27"/>
    <w:rsid w:val="009E470A"/>
    <w:rsid w:val="00A066F6"/>
    <w:rsid w:val="00A106E1"/>
    <w:rsid w:val="00A15175"/>
    <w:rsid w:val="00A54AB8"/>
    <w:rsid w:val="00A75A18"/>
    <w:rsid w:val="00AA1586"/>
    <w:rsid w:val="00AA2A7E"/>
    <w:rsid w:val="00AA2D4F"/>
    <w:rsid w:val="00AA7065"/>
    <w:rsid w:val="00AB2ED2"/>
    <w:rsid w:val="00AC3FF5"/>
    <w:rsid w:val="00AC50B1"/>
    <w:rsid w:val="00AD1F4C"/>
    <w:rsid w:val="00B000FD"/>
    <w:rsid w:val="00B10784"/>
    <w:rsid w:val="00B14584"/>
    <w:rsid w:val="00B23E26"/>
    <w:rsid w:val="00B2465B"/>
    <w:rsid w:val="00B26692"/>
    <w:rsid w:val="00B646F3"/>
    <w:rsid w:val="00B66E9B"/>
    <w:rsid w:val="00B67F7F"/>
    <w:rsid w:val="00B91918"/>
    <w:rsid w:val="00BE4259"/>
    <w:rsid w:val="00BF51E7"/>
    <w:rsid w:val="00BF5624"/>
    <w:rsid w:val="00C06F81"/>
    <w:rsid w:val="00C15B91"/>
    <w:rsid w:val="00C40E95"/>
    <w:rsid w:val="00C54CB1"/>
    <w:rsid w:val="00C71173"/>
    <w:rsid w:val="00C73C39"/>
    <w:rsid w:val="00C806E0"/>
    <w:rsid w:val="00CC14C8"/>
    <w:rsid w:val="00CC474F"/>
    <w:rsid w:val="00CE52AB"/>
    <w:rsid w:val="00CF1B0B"/>
    <w:rsid w:val="00D3080E"/>
    <w:rsid w:val="00D3230A"/>
    <w:rsid w:val="00D459D4"/>
    <w:rsid w:val="00D64993"/>
    <w:rsid w:val="00D723BD"/>
    <w:rsid w:val="00D938E5"/>
    <w:rsid w:val="00D974C4"/>
    <w:rsid w:val="00DC13E5"/>
    <w:rsid w:val="00DE2ABE"/>
    <w:rsid w:val="00E02556"/>
    <w:rsid w:val="00E20028"/>
    <w:rsid w:val="00E21CE2"/>
    <w:rsid w:val="00E607D9"/>
    <w:rsid w:val="00E648DD"/>
    <w:rsid w:val="00E836A3"/>
    <w:rsid w:val="00E97EB2"/>
    <w:rsid w:val="00EA0722"/>
    <w:rsid w:val="00EA1B16"/>
    <w:rsid w:val="00EA2A4D"/>
    <w:rsid w:val="00EA39FE"/>
    <w:rsid w:val="00EB611F"/>
    <w:rsid w:val="00EB748B"/>
    <w:rsid w:val="00EB7CD4"/>
    <w:rsid w:val="00EC564D"/>
    <w:rsid w:val="00ED478D"/>
    <w:rsid w:val="00F137DF"/>
    <w:rsid w:val="00F17D39"/>
    <w:rsid w:val="00F223A3"/>
    <w:rsid w:val="00F32A11"/>
    <w:rsid w:val="00F33A3B"/>
    <w:rsid w:val="00F544BA"/>
    <w:rsid w:val="00F551D7"/>
    <w:rsid w:val="00F62D77"/>
    <w:rsid w:val="00F735A4"/>
    <w:rsid w:val="00F80BDA"/>
    <w:rsid w:val="00F8538C"/>
    <w:rsid w:val="00F93A81"/>
    <w:rsid w:val="00F94D9C"/>
    <w:rsid w:val="00FA52A7"/>
    <w:rsid w:val="00FC5DCE"/>
    <w:rsid w:val="00FD0987"/>
    <w:rsid w:val="00FE28D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AD10E"/>
  <w15:chartTrackingRefBased/>
  <w15:docId w15:val="{B2591101-5B36-4F91-A78B-69492EE2D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61D"/>
    <w:rPr>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80BDA"/>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F80BDA"/>
    <w:rPr>
      <w:rFonts w:asciiTheme="majorHAnsi" w:eastAsiaTheme="majorEastAsia" w:hAnsiTheme="majorHAnsi" w:cstheme="majorBidi"/>
      <w:spacing w:val="-10"/>
      <w:kern w:val="28"/>
      <w:sz w:val="40"/>
      <w:szCs w:val="56"/>
    </w:rPr>
  </w:style>
  <w:style w:type="paragraph" w:styleId="ListParagraph">
    <w:name w:val="List Paragraph"/>
    <w:basedOn w:val="Normal"/>
    <w:uiPriority w:val="34"/>
    <w:qFormat/>
    <w:rsid w:val="00930D87"/>
    <w:pPr>
      <w:ind w:left="720"/>
      <w:contextualSpacing/>
    </w:pPr>
  </w:style>
  <w:style w:type="table" w:styleId="TableGrid">
    <w:name w:val="Table Grid"/>
    <w:basedOn w:val="TableNormal"/>
    <w:uiPriority w:val="39"/>
    <w:rsid w:val="006A5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2EC5"/>
    <w:rPr>
      <w:color w:val="0563C1" w:themeColor="hyperlink"/>
      <w:u w:val="single"/>
    </w:rPr>
  </w:style>
  <w:style w:type="character" w:styleId="UnresolvedMention">
    <w:name w:val="Unresolved Mention"/>
    <w:basedOn w:val="DefaultParagraphFont"/>
    <w:uiPriority w:val="99"/>
    <w:semiHidden/>
    <w:unhideWhenUsed/>
    <w:rsid w:val="00332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60108">
      <w:bodyDiv w:val="1"/>
      <w:marLeft w:val="0"/>
      <w:marRight w:val="0"/>
      <w:marTop w:val="0"/>
      <w:marBottom w:val="0"/>
      <w:divBdr>
        <w:top w:val="none" w:sz="0" w:space="0" w:color="auto"/>
        <w:left w:val="none" w:sz="0" w:space="0" w:color="auto"/>
        <w:bottom w:val="none" w:sz="0" w:space="0" w:color="auto"/>
        <w:right w:val="none" w:sz="0" w:space="0" w:color="auto"/>
      </w:divBdr>
    </w:div>
    <w:div w:id="246504604">
      <w:bodyDiv w:val="1"/>
      <w:marLeft w:val="0"/>
      <w:marRight w:val="0"/>
      <w:marTop w:val="0"/>
      <w:marBottom w:val="0"/>
      <w:divBdr>
        <w:top w:val="none" w:sz="0" w:space="0" w:color="auto"/>
        <w:left w:val="none" w:sz="0" w:space="0" w:color="auto"/>
        <w:bottom w:val="none" w:sz="0" w:space="0" w:color="auto"/>
        <w:right w:val="none" w:sz="0" w:space="0" w:color="auto"/>
      </w:divBdr>
    </w:div>
    <w:div w:id="831679647">
      <w:bodyDiv w:val="1"/>
      <w:marLeft w:val="0"/>
      <w:marRight w:val="0"/>
      <w:marTop w:val="0"/>
      <w:marBottom w:val="0"/>
      <w:divBdr>
        <w:top w:val="none" w:sz="0" w:space="0" w:color="auto"/>
        <w:left w:val="none" w:sz="0" w:space="0" w:color="auto"/>
        <w:bottom w:val="none" w:sz="0" w:space="0" w:color="auto"/>
        <w:right w:val="none" w:sz="0" w:space="0" w:color="auto"/>
      </w:divBdr>
    </w:div>
    <w:div w:id="1168905256">
      <w:bodyDiv w:val="1"/>
      <w:marLeft w:val="0"/>
      <w:marRight w:val="0"/>
      <w:marTop w:val="0"/>
      <w:marBottom w:val="0"/>
      <w:divBdr>
        <w:top w:val="none" w:sz="0" w:space="0" w:color="auto"/>
        <w:left w:val="none" w:sz="0" w:space="0" w:color="auto"/>
        <w:bottom w:val="none" w:sz="0" w:space="0" w:color="auto"/>
        <w:right w:val="none" w:sz="0" w:space="0" w:color="auto"/>
      </w:divBdr>
    </w:div>
    <w:div w:id="1187794074">
      <w:bodyDiv w:val="1"/>
      <w:marLeft w:val="0"/>
      <w:marRight w:val="0"/>
      <w:marTop w:val="0"/>
      <w:marBottom w:val="0"/>
      <w:divBdr>
        <w:top w:val="none" w:sz="0" w:space="0" w:color="auto"/>
        <w:left w:val="none" w:sz="0" w:space="0" w:color="auto"/>
        <w:bottom w:val="none" w:sz="0" w:space="0" w:color="auto"/>
        <w:right w:val="none" w:sz="0" w:space="0" w:color="auto"/>
      </w:divBdr>
    </w:div>
    <w:div w:id="1454010961">
      <w:bodyDiv w:val="1"/>
      <w:marLeft w:val="0"/>
      <w:marRight w:val="0"/>
      <w:marTop w:val="0"/>
      <w:marBottom w:val="0"/>
      <w:divBdr>
        <w:top w:val="none" w:sz="0" w:space="0" w:color="auto"/>
        <w:left w:val="none" w:sz="0" w:space="0" w:color="auto"/>
        <w:bottom w:val="none" w:sz="0" w:space="0" w:color="auto"/>
        <w:right w:val="none" w:sz="0" w:space="0" w:color="auto"/>
      </w:divBdr>
    </w:div>
    <w:div w:id="157230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w Cen MT-Rockwell">
      <a:maj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TotalTime>
  <Pages>4</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Grayson Guardian</dc:creator>
  <cp:keywords/>
  <dc:description/>
  <cp:lastModifiedBy>Grayson Guardian</cp:lastModifiedBy>
  <cp:revision>208</cp:revision>
  <cp:lastPrinted>2023-02-21T22:19:00Z</cp:lastPrinted>
  <dcterms:created xsi:type="dcterms:W3CDTF">2023-02-21T21:04:00Z</dcterms:created>
  <dcterms:modified xsi:type="dcterms:W3CDTF">2023-04-07T22:31:00Z</dcterms:modified>
</cp:coreProperties>
</file>